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spacing w:before="156" w:beforeLines="50"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eastAsia="方正小标宋简体" w:cs="方正小标宋简体"/>
          <w:sz w:val="36"/>
          <w:szCs w:val="36"/>
        </w:rPr>
        <w:t>州级预算部门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整体支出绩效评价基础数据表</w:t>
      </w:r>
      <w:bookmarkStart w:id="0" w:name="_GoBack"/>
      <w:bookmarkEnd w:id="0"/>
    </w:p>
    <w:p>
      <w:pPr>
        <w:ind w:left="91"/>
        <w:jc w:val="center"/>
        <w:rPr>
          <w:rFonts w:hint="eastAsia" w:ascii="仿宋_GB2312" w:hAnsi="楷体_GB2312" w:eastAsia="仿宋_GB2312" w:cs="楷体_GB2312"/>
          <w:sz w:val="30"/>
          <w:szCs w:val="30"/>
        </w:rPr>
      </w:pPr>
      <w:r>
        <w:rPr>
          <w:rFonts w:hint="eastAsia" w:ascii="仿宋_GB2312" w:hAnsi="楷体_GB2312" w:eastAsia="仿宋_GB2312" w:cs="楷体_GB2312"/>
          <w:sz w:val="30"/>
          <w:szCs w:val="30"/>
        </w:rPr>
        <w:t>（2020年度</w:t>
      </w:r>
      <w:r>
        <w:rPr>
          <w:rFonts w:hint="eastAsia" w:ascii="仿宋_GB2312" w:hAnsi="楷体_GB2312" w:eastAsia="仿宋_GB2312" w:cs="楷体_GB2312"/>
          <w:sz w:val="30"/>
          <w:szCs w:val="30"/>
        </w:rPr>
        <w:tab/>
      </w:r>
      <w:r>
        <w:rPr>
          <w:rFonts w:hint="eastAsia" w:ascii="仿宋_GB2312" w:hAnsi="楷体_GB2312" w:eastAsia="仿宋_GB2312" w:cs="楷体_GB2312"/>
          <w:sz w:val="30"/>
          <w:szCs w:val="30"/>
        </w:rPr>
        <w:t>）</w:t>
      </w:r>
    </w:p>
    <w:tbl>
      <w:tblPr>
        <w:tblStyle w:val="2"/>
        <w:tblW w:w="96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306"/>
        <w:gridCol w:w="939"/>
        <w:gridCol w:w="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财政供养人员情况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2020年末编制数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2020年末实际在职人数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控制率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153</w:t>
            </w:r>
            <w:r>
              <w:rPr>
                <w:rFonts w:hint="eastAsia" w:ascii="仿宋_GB2312" w:hAnsi="仿宋" w:eastAsia="仿宋_GB2312" w:cs="仿宋"/>
                <w:szCs w:val="21"/>
              </w:rPr>
              <w:t>　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　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117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100%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经费控制情况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2019年决算数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（万元）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2020年预算数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（万元）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2020年决算数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292.66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highlight w:val="none"/>
                <w:lang w:val="en-US" w:eastAsia="zh-CN"/>
              </w:rPr>
              <w:t>500.3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highlight w:val="none"/>
                <w:lang w:val="en-US" w:eastAsia="zh-CN"/>
              </w:rPr>
              <w:t>354.66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 xml:space="preserve"> 1、公务用车购置和运行维护费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239.69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highlight w:val="none"/>
                <w:lang w:val="en-US" w:eastAsia="zh-CN"/>
              </w:rPr>
              <w:t>364.04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highlight w:val="none"/>
                <w:lang w:val="en-US" w:eastAsia="zh-CN"/>
              </w:rPr>
              <w:t>291.65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 xml:space="preserve">     其中：公务用车购置费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46.76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highlight w:val="none"/>
                <w:lang w:val="en-US" w:eastAsia="zh-CN"/>
              </w:rPr>
              <w:t>120.34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highlight w:val="none"/>
                <w:lang w:val="en-US" w:eastAsia="zh-CN"/>
              </w:rPr>
              <w:t>119.56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 xml:space="preserve">           公务用车运行维护费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192.93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highlight w:val="none"/>
                <w:lang w:val="en-US" w:eastAsia="zh-CN"/>
              </w:rPr>
              <w:t>243.7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highlight w:val="none"/>
                <w:lang w:val="en-US" w:eastAsia="zh-CN"/>
              </w:rPr>
              <w:t>172.09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 xml:space="preserve">   2、因公出国（境）费用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1.71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 xml:space="preserve">   3、公务接待费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51.26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highlight w:val="none"/>
                <w:lang w:val="en-US" w:eastAsia="zh-CN"/>
              </w:rPr>
              <w:t>136.26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highlight w:val="none"/>
                <w:lang w:val="en-US" w:eastAsia="zh-CN"/>
              </w:rPr>
              <w:t>63.01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8026.68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712.07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5587.98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210" w:firstLineChars="100"/>
              <w:jc w:val="left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网络平台运行及设备维护费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 xml:space="preserve"> </w:t>
            </w: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101.55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67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210" w:firstLineChars="100"/>
              <w:jc w:val="left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政府办综合协调专项经费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955.73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361.57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 xml:space="preserve">574.43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210" w:firstLineChars="100"/>
              <w:jc w:val="left"/>
              <w:rPr>
                <w:rFonts w:hint="eastAsia" w:ascii="仿宋_GB2312" w:hAnsi="仿宋" w:eastAsia="仿宋_GB2312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州挂职干部工作经费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201.04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100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210" w:firstLineChars="100"/>
              <w:rPr>
                <w:rFonts w:hint="eastAsia" w:ascii="仿宋_GB2312" w:hAnsi="仿宋" w:eastAsia="仿宋_GB2312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“互联网+湘西”暨智慧湘西领导小组资金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4603.54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3682.2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210" w:firstLineChars="100"/>
              <w:rPr>
                <w:rFonts w:hint="eastAsia" w:ascii="仿宋_GB2312" w:hAnsi="仿宋" w:eastAsia="仿宋_GB2312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推进办项目经费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33.9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210" w:firstLineChars="100"/>
              <w:rPr>
                <w:rFonts w:hint="eastAsia" w:ascii="仿宋_GB2312" w:hAnsi="仿宋" w:eastAsia="仿宋_GB2312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大数据中心平台运行经费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604.64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210" w:firstLineChars="100"/>
              <w:rPr>
                <w:rFonts w:hint="eastAsia" w:ascii="仿宋_GB2312" w:hAnsi="仿宋" w:eastAsia="仿宋_GB2312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会议经费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52.03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highlight w:val="none"/>
                <w:lang w:val="en-US" w:eastAsia="zh-CN"/>
              </w:rPr>
              <w:t>54.76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210" w:firstLineChars="100"/>
              <w:rPr>
                <w:rFonts w:hint="eastAsia" w:ascii="仿宋_GB2312" w:hAnsi="仿宋" w:eastAsia="仿宋_GB2312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电子政务工程建设工作经费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305.77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210" w:firstLineChars="100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财税收入奖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100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210" w:firstLineChars="100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政府迁建资金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1500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10" w:firstLineChars="100"/>
              <w:jc w:val="left"/>
              <w:textAlignment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招商引资经费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109.96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126.55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10" w:firstLineChars="100"/>
              <w:jc w:val="left"/>
              <w:textAlignment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客房运营及大楼维护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97.06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125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210" w:firstLineChars="100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信息服务专项经费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31.5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210" w:firstLineChars="100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引进推介招商车辆运行信息网络专项经费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27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210" w:firstLineChars="100"/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仿宋"/>
                <w:szCs w:val="21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1013.83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861.56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840.33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420" w:firstLineChars="200"/>
              <w:jc w:val="left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其中：办公费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66.45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37.17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 xml:space="preserve">          水费、电费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42.26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13.01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1050" w:firstLineChars="500"/>
              <w:jc w:val="left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56.73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29.43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1050" w:firstLineChars="500"/>
              <w:jc w:val="left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2.47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0.38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1050" w:firstLineChars="500"/>
              <w:jc w:val="left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会议费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0.00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——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80.5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39.2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——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2341.07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" w:eastAsia="仿宋_GB2312" w:cs="仿宋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1"/>
                <w:lang w:val="en-US" w:eastAsia="zh-CN"/>
              </w:rPr>
              <w:t>3690.51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楼堂馆所控制情况</w:t>
            </w:r>
            <w:r>
              <w:rPr>
                <w:rFonts w:hint="eastAsia" w:ascii="仿宋_GB2312" w:hAnsi="仿宋" w:eastAsia="仿宋_GB2312" w:cs="仿宋"/>
                <w:szCs w:val="21"/>
              </w:rPr>
              <w:br w:type="textWrapping"/>
            </w:r>
            <w:r>
              <w:rPr>
                <w:rFonts w:hint="eastAsia" w:ascii="仿宋_GB2312" w:hAnsi="仿宋" w:eastAsia="仿宋_GB2312" w:cs="仿宋"/>
                <w:szCs w:val="21"/>
              </w:rPr>
              <w:t>（2020年完工项目）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批复规模</w:t>
            </w:r>
            <w:r>
              <w:rPr>
                <w:rFonts w:hint="eastAsia" w:ascii="仿宋_GB2312" w:hAnsi="仿宋" w:eastAsia="仿宋_GB2312" w:cs="仿宋"/>
                <w:szCs w:val="21"/>
              </w:rPr>
              <w:br w:type="textWrapping"/>
            </w:r>
            <w:r>
              <w:rPr>
                <w:rFonts w:hint="eastAsia" w:ascii="仿宋_GB2312" w:hAnsi="仿宋" w:eastAsia="仿宋_GB2312" w:cs="仿宋"/>
                <w:szCs w:val="21"/>
              </w:rPr>
              <w:t>（㎡）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实际规模（㎡）</w:t>
            </w:r>
          </w:p>
        </w:tc>
        <w:tc>
          <w:tcPr>
            <w:tcW w:w="11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规模控制率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预算投资（万元）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实际投资（万元）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投资概算控制率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62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无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厉行节约保障措施</w:t>
            </w:r>
          </w:p>
        </w:tc>
        <w:tc>
          <w:tcPr>
            <w:tcW w:w="62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 xml:space="preserve">   认真贯彻落实中央关于厉行节约的有关规定，严格执行《党政机关厉行节约反对浪费条例》和《湘西自治州党政机关国内公务接待费管理办法》，严控三公经费、降低一般运行经费、加强项目支出管理。</w:t>
            </w:r>
            <w:r>
              <w:rPr>
                <w:rFonts w:hint="eastAsia" w:ascii="仿宋_GB2312" w:hAnsi="仿宋" w:eastAsia="仿宋_GB2312" w:cs="仿宋"/>
                <w:szCs w:val="21"/>
              </w:rPr>
              <w:t>　</w:t>
            </w:r>
          </w:p>
        </w:tc>
      </w:tr>
    </w:tbl>
    <w:p>
      <w:pPr>
        <w:spacing w:line="360" w:lineRule="exact"/>
        <w:rPr>
          <w:rFonts w:hint="eastAsia" w:ascii="仿宋_GB2312" w:eastAsia="仿宋_GB2312"/>
          <w:sz w:val="24"/>
        </w:rPr>
      </w:pPr>
    </w:p>
    <w:p>
      <w:pPr>
        <w:spacing w:line="360" w:lineRule="exact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单位负责人签字：      </w:t>
      </w:r>
      <w:r>
        <w:rPr>
          <w:rFonts w:hint="eastAsia" w:ascii="仿宋_GB2312" w:eastAsia="仿宋_GB2312"/>
          <w:sz w:val="24"/>
          <w:lang w:val="en-US" w:eastAsia="zh-CN"/>
        </w:rPr>
        <w:t xml:space="preserve">  </w:t>
      </w:r>
      <w:r>
        <w:rPr>
          <w:rFonts w:hint="eastAsia" w:ascii="仿宋_GB2312" w:eastAsia="仿宋_GB2312"/>
          <w:sz w:val="24"/>
        </w:rPr>
        <w:t xml:space="preserve">填表人：    </w:t>
      </w:r>
      <w:r>
        <w:rPr>
          <w:rFonts w:hint="eastAsia" w:ascii="仿宋_GB2312" w:eastAsia="仿宋_GB2312"/>
          <w:sz w:val="24"/>
          <w:lang w:val="en-US" w:eastAsia="zh-CN"/>
        </w:rPr>
        <w:t xml:space="preserve"> </w:t>
      </w:r>
      <w:r>
        <w:rPr>
          <w:rFonts w:hint="eastAsia" w:ascii="仿宋_GB2312" w:eastAsia="仿宋_GB2312"/>
          <w:sz w:val="24"/>
        </w:rPr>
        <w:t xml:space="preserve"> 联系电话：  </w:t>
      </w:r>
      <w:r>
        <w:rPr>
          <w:rFonts w:hint="eastAsia" w:ascii="仿宋_GB2312" w:eastAsia="仿宋_GB2312"/>
          <w:sz w:val="24"/>
          <w:lang w:val="en-US" w:eastAsia="zh-CN"/>
        </w:rPr>
        <w:t xml:space="preserve">  </w:t>
      </w:r>
      <w:r>
        <w:rPr>
          <w:rFonts w:hint="eastAsia" w:ascii="仿宋_GB2312" w:eastAsia="仿宋_GB2312"/>
          <w:sz w:val="24"/>
        </w:rPr>
        <w:t xml:space="preserve">     填报日期：</w:t>
      </w:r>
      <w:r>
        <w:rPr>
          <w:rFonts w:hint="eastAsia" w:ascii="仿宋_GB2312" w:eastAsia="仿宋_GB2312"/>
          <w:sz w:val="24"/>
          <w:lang w:val="en-US" w:eastAsia="zh-CN"/>
        </w:rPr>
        <w:t xml:space="preserve">   </w:t>
      </w:r>
      <w:r>
        <w:rPr>
          <w:rFonts w:hint="eastAsia" w:ascii="仿宋_GB2312" w:eastAsia="仿宋_GB2312"/>
          <w:sz w:val="24"/>
        </w:rPr>
        <w:t xml:space="preserve">年 </w:t>
      </w:r>
      <w:r>
        <w:rPr>
          <w:rFonts w:hint="eastAsia" w:ascii="仿宋_GB2312" w:eastAsia="仿宋_GB2312"/>
          <w:sz w:val="24"/>
          <w:lang w:val="en-US" w:eastAsia="zh-CN"/>
        </w:rPr>
        <w:t xml:space="preserve"> </w:t>
      </w:r>
      <w:r>
        <w:rPr>
          <w:rFonts w:hint="eastAsia" w:ascii="仿宋_GB2312" w:eastAsia="仿宋_GB2312"/>
          <w:sz w:val="24"/>
        </w:rPr>
        <w:t xml:space="preserve"> 月 </w:t>
      </w:r>
      <w:r>
        <w:rPr>
          <w:rFonts w:hint="eastAsia" w:ascii="仿宋_GB2312" w:eastAsia="仿宋_GB2312"/>
          <w:sz w:val="24"/>
          <w:lang w:val="en-US" w:eastAsia="zh-CN"/>
        </w:rPr>
        <w:t xml:space="preserve"> </w:t>
      </w:r>
      <w:r>
        <w:rPr>
          <w:rFonts w:hint="eastAsia" w:ascii="仿宋_GB2312" w:eastAsia="仿宋_GB2312"/>
          <w:sz w:val="24"/>
        </w:rPr>
        <w:t xml:space="preserve"> 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4372AA"/>
    <w:rsid w:val="0BA85946"/>
    <w:rsid w:val="0BED0164"/>
    <w:rsid w:val="1302037C"/>
    <w:rsid w:val="27523F26"/>
    <w:rsid w:val="30081164"/>
    <w:rsid w:val="421B7C4A"/>
    <w:rsid w:val="48D95CB0"/>
    <w:rsid w:val="52520091"/>
    <w:rsid w:val="5ABA4358"/>
    <w:rsid w:val="5D5F7337"/>
    <w:rsid w:val="6B81610F"/>
    <w:rsid w:val="7917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2021-06-21T08:30:00Z</cp:lastPrinted>
  <dcterms:modified xsi:type="dcterms:W3CDTF">2021-06-23T08:00:38Z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21FD53FE7297464DB1F60C4713E5852F</vt:lpwstr>
  </property>
</Properties>
</file>